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4" w:rsidRPr="004163E9" w:rsidRDefault="004163E9" w:rsidP="004163E9">
      <w:pPr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r w:rsidRPr="004163E9">
        <w:rPr>
          <w:rFonts w:ascii="Times New Roman" w:hAnsi="Times New Roman"/>
          <w:i/>
          <w:iCs/>
          <w:sz w:val="24"/>
          <w:szCs w:val="24"/>
        </w:rPr>
        <w:t xml:space="preserve">Załącznik nr 2 do SIWZ </w:t>
      </w:r>
    </w:p>
    <w:bookmarkEnd w:id="0"/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 xml:space="preserve">Zestawienie </w:t>
      </w:r>
    </w:p>
    <w:p w:rsidR="008B4C76" w:rsidRDefault="003C7EFC">
      <w:pPr>
        <w:pStyle w:val="Spistreci1"/>
        <w:tabs>
          <w:tab w:val="left" w:pos="7088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18576180" w:history="1">
        <w:r w:rsidR="008B4C76" w:rsidRPr="0078484C">
          <w:rPr>
            <w:rStyle w:val="Hipercze"/>
            <w:noProof/>
          </w:rPr>
          <w:t>Zakup i wdrożenie informatycznych narzędzi analitycznych i prognostycznych</w:t>
        </w:r>
        <w:r w:rsidR="008B4C7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B4C7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8B4C76" w:rsidRPr="0078484C">
          <w:rPr>
            <w:rStyle w:val="Hipercze"/>
            <w:noProof/>
          </w:rPr>
          <w:t>szt. 1</w:t>
        </w:r>
      </w:hyperlink>
    </w:p>
    <w:p w:rsidR="00AE184C" w:rsidRPr="00D23A22" w:rsidRDefault="003C7EFC">
      <w:r w:rsidRPr="00D23A22">
        <w:rPr>
          <w:sz w:val="24"/>
          <w:szCs w:val="24"/>
        </w:rPr>
        <w:fldChar w:fldCharType="end"/>
      </w:r>
    </w:p>
    <w:p w:rsidR="008D2A28" w:rsidRPr="004163E9" w:rsidRDefault="00AE184C" w:rsidP="008D2A2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18576180"/>
      <w:bookmarkStart w:id="2" w:name="_Toc321121187"/>
      <w:r w:rsidR="008B4C76" w:rsidRPr="008B4C76">
        <w:rPr>
          <w:rFonts w:ascii="Calibri" w:hAnsi="Calibri"/>
        </w:rPr>
        <w:lastRenderedPageBreak/>
        <w:t>Zakup i wdrożenie informatycznych narzędzi analitycznych i prognostycznych</w:t>
      </w:r>
      <w:r w:rsidR="008B4C76">
        <w:rPr>
          <w:rFonts w:ascii="Calibri" w:hAnsi="Calibri"/>
        </w:rPr>
        <w:tab/>
      </w:r>
      <w:r w:rsidR="00A70F70" w:rsidRPr="00D23A22">
        <w:rPr>
          <w:rFonts w:ascii="Calibri" w:hAnsi="Calibri"/>
        </w:rPr>
        <w:t xml:space="preserve">szt. </w:t>
      </w:r>
      <w:r w:rsidR="008B4C76">
        <w:rPr>
          <w:rFonts w:ascii="Calibri" w:hAnsi="Calibri"/>
        </w:rPr>
        <w:t>1</w:t>
      </w:r>
      <w:bookmarkEnd w:id="1"/>
    </w:p>
    <w:p w:rsidR="008B4C76" w:rsidRDefault="008B4C76" w:rsidP="008B4C76">
      <w:pPr>
        <w:jc w:val="both"/>
        <w:rPr>
          <w:rFonts w:asciiTheme="minorHAnsi" w:hAnsiTheme="minorHAnsi" w:cstheme="minorHAnsi"/>
          <w:b/>
          <w:bCs/>
        </w:rPr>
      </w:pPr>
    </w:p>
    <w:p w:rsidR="008B4C76" w:rsidRPr="006032E2" w:rsidRDefault="008B4C76" w:rsidP="008B4C76">
      <w:pPr>
        <w:jc w:val="both"/>
        <w:rPr>
          <w:rFonts w:asciiTheme="minorHAnsi" w:hAnsiTheme="minorHAnsi" w:cstheme="minorHAnsi"/>
          <w:b/>
          <w:bCs/>
        </w:rPr>
      </w:pPr>
      <w:r w:rsidRPr="006032E2">
        <w:rPr>
          <w:rFonts w:asciiTheme="minorHAnsi" w:hAnsiTheme="minorHAnsi" w:cstheme="minorHAnsi"/>
          <w:b/>
          <w:bCs/>
        </w:rPr>
        <w:t>I. Opis przedmiotu zamówienia</w:t>
      </w:r>
    </w:p>
    <w:p w:rsidR="008B4C76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Przedmiotem zamówienia jest zakup i wdrożenie informatycznych narzędzi analitycznych i prognostycznych w formule Software as a Service spełniających wszystkie wytyczne wskazane w rozporządzeniu Ministra Nauki i Szkolnictwa Wyższego z dnia 22 lutego 2019 r. w sprawie ewaluacji jakości działalności naukowej wraz z zapewnieniem bieżącej aktualizacji platformy oraz wsparcia technicznego.</w:t>
      </w:r>
    </w:p>
    <w:p w:rsidR="008B4C76" w:rsidRPr="006032E2" w:rsidRDefault="008B4C76" w:rsidP="008B4C76">
      <w:pPr>
        <w:rPr>
          <w:rFonts w:asciiTheme="minorHAnsi" w:hAnsiTheme="minorHAnsi" w:cstheme="minorHAnsi"/>
        </w:rPr>
      </w:pPr>
    </w:p>
    <w:p w:rsidR="008B4C76" w:rsidRPr="006032E2" w:rsidRDefault="008B4C76" w:rsidP="008B4C76">
      <w:pPr>
        <w:rPr>
          <w:rFonts w:asciiTheme="minorHAnsi" w:hAnsiTheme="minorHAnsi" w:cstheme="minorHAnsi"/>
          <w:b/>
          <w:bCs/>
        </w:rPr>
      </w:pPr>
      <w:r w:rsidRPr="006032E2">
        <w:rPr>
          <w:rFonts w:asciiTheme="minorHAnsi" w:hAnsiTheme="minorHAnsi" w:cstheme="minorHAnsi"/>
          <w:b/>
          <w:bCs/>
        </w:rPr>
        <w:t>II. Obowiązki Wykonawcy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1. Dostawa i wdrożenie narzędzi analitycznych i prognostycznych wraz z niezbędnymi licencjami oraz usługi konsultingowe w zakresie efektywnego wykorzystania zasobów naukowo-badawczych uczelni w okresie trwania Umowy.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2. Instalacja i konfiguracja narzędzi analitycznych i prognostycznych na platformie sprzętowej udostępnionej, skonfigurowanej i przygotowanej do pracy przez Wykonawcę. Wykonawca musi zainstalować i skonfigurować serwer bazodanowy, bazę danych oraz aplikacje platformy na serwerach Wykonawcy. Dostarczone rozwiązanie musi umożliwiać dostęp dla  max. 30 użytkowników zatrudnionych przez Zamawiającego poprzez interfejs webowy.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3. Uruchomienie zgodnie z opisem i wymaganiami funkcjonalnymi w tym między innymi.: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a. zasilenie platformy danymi pochodzącymi z ankiety jednostki oraz danymi z systemu PBN i/lub Prolib.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b. implementacja jednostek organizacyjnych z mechanizmem przypisania osiągnięć do pracowników i jednostek organizacyjnych umożliwiającego elastyczne przechodzenie między nimi.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c. implementacja wielokryterialnych analiz, w tym algorytmów analizy wkładu dorobku, potencjału i efektywności oraz produktywności naukowej.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d. przydzielenie uprawnień użytkownikom na podstawie wskazanej przez Zamawiającego hierarchii i ról oraz struktury organizacyjnej;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e. uruchomienie narzędzi analitycznych i prognostycznych na platformie sprzętowej wraz z zapewnieniem ciągłości działania w okresie Umowy.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f. dostarczenie instrukcji obsługi w języku polskim dla użytkowników, w formie elektronicznej.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lastRenderedPageBreak/>
        <w:t xml:space="preserve">4. Implementacja i wdrożenie modyfikacji mających na celu dostosowanie platformy do wymogów znowelizowanej ustawy Prawo o szkolnictwie wyższym i nauce - nazywanej też Ustawą 2.0 lub Konstytucją dla Nauki w zakresie dostarczanych funkcjonalności. 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5. Implementacja i wdrożenie nowej funkcjonalności oceny jakości dydaktycznej i naukowej nauczycieli akademickich.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6. Implementacja i wdrożenie nowej funkcjonalności oceny aktywności naukowo-dydaktycznej pracowników wraz z funkcją zrównoważonego zarządzania zasobami uczelni.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7. Implementacji i wdrożenie nowych narzędzi do zarządzania procesem wytwarzania osiągnięć naukowych oraz realizacją projektów poprzez wyznaczanie celów do realizacji (zarówno naukowych, dydaktyczny, jak i organizacyjnych), przypisywanie konkretnych zadań do pracowników oraz zespołów.</w:t>
      </w:r>
    </w:p>
    <w:p w:rsidR="008B4C76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8. Przeprowadzenie szkoleń dla max 30 użytkowników.</w:t>
      </w:r>
    </w:p>
    <w:p w:rsidR="008B4C76" w:rsidRPr="006032E2" w:rsidRDefault="008B4C76" w:rsidP="008B4C76">
      <w:pPr>
        <w:rPr>
          <w:rFonts w:asciiTheme="minorHAnsi" w:hAnsiTheme="minorHAnsi" w:cstheme="minorHAnsi"/>
        </w:rPr>
      </w:pPr>
    </w:p>
    <w:p w:rsidR="008B4C76" w:rsidRPr="006032E2" w:rsidRDefault="008B4C76" w:rsidP="008B4C76">
      <w:pPr>
        <w:rPr>
          <w:rFonts w:asciiTheme="minorHAnsi" w:hAnsiTheme="minorHAnsi" w:cstheme="minorHAnsi"/>
          <w:b/>
          <w:bCs/>
        </w:rPr>
      </w:pPr>
      <w:r w:rsidRPr="006032E2">
        <w:rPr>
          <w:rFonts w:asciiTheme="minorHAnsi" w:hAnsiTheme="minorHAnsi" w:cstheme="minorHAnsi"/>
          <w:b/>
          <w:bCs/>
        </w:rPr>
        <w:t>III. Wymogi funkcjonalne dla usługi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1. Bieżące gromadzenie i przetwarzanie informacji o osiągnięciach naukowych zgodnie z wymaganiami i aktualnym stanem prawnym.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 xml:space="preserve">2. Weryfikacja prawidłowości i kompletności informacji o osiągnięciach naukowych, w celu zapewnienia ich kwalifikowalności w procesie ewaluacji jednostek naukowych prowadzonej przez Ministerstwo Nauki i Szkolnictwa Wyższego lub w postępowaniach grantowych.  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3. Identyfikacja punktacji dla poszczególnych osiągnięć naukowych w ewaluacji MNISW  zgodnie z obowiązującym stanem prawnym wykazów (w tym wykaz punktowanych czasopism i wydawnictw) oraz algorytmów.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4. Estymacja tzw. slotów publikacyjnych, czyli jednostkowego udziału pracownika w osiągnięciach publikacyjnych zgodnie z wymaganiami i aktualnym stanem prawnym.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5. Dostęp do analiz efektywność jednostki organizacyjnych i poszczególnych pracowników w zakresie tworzenia osiągnięć naukowych biorących udział w procesie ewaluacji jakości działalności naukowej.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6. Analiza wkładu poszczególnych pracowników w dorobek publikacyjny objęty ewaluacją MNISW.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7. Import informacji o osiągnięciach publikacyjnych z plików XML.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 xml:space="preserve">8. Zabezpieczenie stronu bezpiecznym protokołem SSL. 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 xml:space="preserve">9. Możliwość generowania, wyświetlania i drukowania raportów w formacie PDF, XLS. 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 xml:space="preserve">10. Możliwość określania poziomów dostępu do gromadzonych w platformie informacji i raportów dla poszczególnych użytkowników i grup użytkowników – nadawanie uprawnień w zakresie </w:t>
      </w:r>
      <w:r w:rsidRPr="006032E2">
        <w:rPr>
          <w:rFonts w:asciiTheme="minorHAnsi" w:hAnsiTheme="minorHAnsi" w:cstheme="minorHAnsi"/>
        </w:rPr>
        <w:lastRenderedPageBreak/>
        <w:t>przeglądania, dodawania, edycji i usuwania informacji jednostki – pracownicy, administracja, biblioteka, kierownicy jednostek, Rektor.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12. Wykonawca musi zapewnić w okresie trwania Umowy bezpłatne konsultacje telefoniczne oraz za pośrednictwem poczty elektronicznej w zakresie rozwiązywania problemów eksploatacyjnych i metodologicznych w godzinach pracy Zamawiającego.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13. Wymagane jest udzielenie  gwarancji i wsparcia technicznego dla platformy w zakresie jej aktualizacji i modyfikacji, usuwania błędów wykrytych w trakcie użytkowania, aktualizacji dokumentacji po wprowadzonych zmianach.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14. Estymacja punktacji, na jaką może liczyć jednostka naukowa w procesie ewaluacji MNiSW na podstawie dotąd wypracowanych osiągnięć naukowych oraz zgodnie z wymaganiami i aktualnym stanem prawnym.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 xml:space="preserve">16. Możliwość przechowywania w  platformie załączników w formie plików. </w:t>
      </w:r>
    </w:p>
    <w:p w:rsidR="008B4C76" w:rsidRPr="006032E2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17. Możliwość prowadzenia szkoleń on-line z zakresu korzystania z platformy.</w:t>
      </w:r>
    </w:p>
    <w:p w:rsidR="008B4C76" w:rsidRDefault="008B4C76" w:rsidP="008B4C76">
      <w:pPr>
        <w:jc w:val="both"/>
        <w:rPr>
          <w:rFonts w:asciiTheme="minorHAnsi" w:hAnsiTheme="minorHAnsi" w:cstheme="minorHAnsi"/>
        </w:rPr>
      </w:pPr>
      <w:r w:rsidRPr="006032E2">
        <w:rPr>
          <w:rFonts w:asciiTheme="minorHAnsi" w:hAnsiTheme="minorHAnsi" w:cstheme="minorHAnsi"/>
        </w:rPr>
        <w:t>18. Zapewnienie usług doradczych jako wsparcie merytoryczne dla działań uczelni w obszarze doskonałości naukowej ocenianej w ramach ewaluacji jakości działalności naukowej przeprowadzanej przez MNiSW w związku z wejścia w życie ustawy 2.0. Usługi doradcze świadczone będą bezpośrednio w uczelni oraz zdalnie.</w:t>
      </w:r>
    </w:p>
    <w:p w:rsidR="00600438" w:rsidRPr="006032E2" w:rsidRDefault="00600438" w:rsidP="008B4C76">
      <w:pPr>
        <w:jc w:val="both"/>
        <w:rPr>
          <w:rFonts w:asciiTheme="minorHAnsi" w:hAnsiTheme="minorHAnsi" w:cstheme="minorHAnsi"/>
        </w:rPr>
      </w:pPr>
    </w:p>
    <w:bookmarkEnd w:id="2"/>
    <w:p w:rsidR="008B4C76" w:rsidRDefault="008B4C76" w:rsidP="008B4C76">
      <w:pPr>
        <w:spacing w:after="120"/>
        <w:jc w:val="both"/>
        <w:rPr>
          <w:rFonts w:eastAsia="MS Mincho" w:cs="Calibri"/>
          <w:b/>
          <w:bCs/>
          <w:lang w:eastAsia="ja-JP"/>
        </w:rPr>
      </w:pPr>
      <w:r w:rsidRPr="008B4C76">
        <w:rPr>
          <w:rFonts w:eastAsia="MS Mincho" w:cs="Calibri"/>
          <w:b/>
          <w:bCs/>
          <w:lang w:eastAsia="ja-JP"/>
        </w:rPr>
        <w:t>IV. Specyfikacja dostarczanego oprogramowania</w:t>
      </w:r>
    </w:p>
    <w:p w:rsidR="00600438" w:rsidRPr="008B4C76" w:rsidRDefault="00600438" w:rsidP="008B4C76">
      <w:pPr>
        <w:spacing w:after="120"/>
        <w:jc w:val="both"/>
        <w:rPr>
          <w:rFonts w:eastAsia="MS Mincho" w:cs="Calibri"/>
          <w:b/>
          <w:bCs/>
          <w:lang w:eastAsia="ja-JP"/>
        </w:rPr>
      </w:pPr>
    </w:p>
    <w:p w:rsidR="008B4C76" w:rsidRDefault="008B4C76" w:rsidP="008B4C76">
      <w:pPr>
        <w:spacing w:after="120"/>
        <w:jc w:val="both"/>
        <w:rPr>
          <w:rFonts w:eastAsia="MS Mincho" w:cs="Calibri"/>
          <w:lang w:eastAsia="ja-JP"/>
        </w:rPr>
      </w:pPr>
      <w:r w:rsidRPr="008B4C76">
        <w:rPr>
          <w:rFonts w:eastAsia="MS Mincho" w:cs="Calibri"/>
          <w:lang w:eastAsia="ja-JP"/>
        </w:rPr>
        <w:t>Wszystkie poniższe wymagania i</w:t>
      </w:r>
      <w:r w:rsidRPr="008B4C76">
        <w:rPr>
          <w:rFonts w:eastAsia="MS Mincho" w:cs="Calibri"/>
          <w:color w:val="000000"/>
          <w:lang w:eastAsia="ja-JP"/>
        </w:rPr>
        <w:t xml:space="preserve"> funkcjonalności platformy, w tym konfiguracja interfejsu WWW, konfiguracja plików eksportowych XML </w:t>
      </w:r>
      <w:r w:rsidRPr="008B4C76">
        <w:rPr>
          <w:rFonts w:eastAsia="MS Mincho" w:cs="Calibri"/>
          <w:lang w:eastAsia="ja-JP"/>
        </w:rPr>
        <w:t xml:space="preserve"> musi spełniać platforma dostarczona Zamawiającemu nie później niż 14 dni po podpisaniu Umowy. Wszystkie poniższe funkcjonalności muszą być dostępne w pełni w wersji stabilnej od dnia udostępniania aplikacji Uczelni. </w:t>
      </w:r>
    </w:p>
    <w:p w:rsidR="008B4C76" w:rsidRPr="008B4C76" w:rsidRDefault="008B4C76" w:rsidP="008B4C76">
      <w:pPr>
        <w:spacing w:after="120"/>
        <w:jc w:val="both"/>
        <w:rPr>
          <w:rFonts w:eastAsia="MS Mincho" w:cs="Calibri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1"/>
        <w:gridCol w:w="7801"/>
      </w:tblGrid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000000" w:fill="BFBFBF"/>
            <w:noWrap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b/>
                <w:lang w:eastAsia="ja-JP"/>
              </w:rPr>
            </w:pPr>
            <w:r w:rsidRPr="008B4C76">
              <w:rPr>
                <w:rFonts w:eastAsia="MS Mincho" w:cs="Calibri"/>
                <w:b/>
                <w:lang w:eastAsia="ja-JP"/>
              </w:rPr>
              <w:t>Nr wymagania</w:t>
            </w:r>
          </w:p>
        </w:tc>
        <w:tc>
          <w:tcPr>
            <w:tcW w:w="7801" w:type="dxa"/>
            <w:shd w:val="clear" w:color="000000" w:fill="BFBFBF"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b/>
                <w:lang w:eastAsia="ja-JP"/>
              </w:rPr>
            </w:pPr>
            <w:r w:rsidRPr="008B4C76">
              <w:rPr>
                <w:rFonts w:eastAsia="MS Mincho" w:cs="Calibri"/>
                <w:b/>
                <w:lang w:eastAsia="ja-JP"/>
              </w:rPr>
              <w:t>Wymagania ogólne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Środowisko platformy pracować powinno na zasobach zwirtualizowanych.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być zbudowany w oparciu o architekturę trójwarstwową (warstwa prezentacji, warstwa logiki, warstwa bazy danych).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Wszystkie funkcjonalności platformy i zarządzanie nimi muszą być możliwe z poziomu przeglądarki internetowej, bez konieczności instalacji dodatkowego oprogramowania.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 xml:space="preserve">Platforma musi funkcjonować w oparciu o budowę modułową. Musi pozwalać na </w:t>
            </w:r>
            <w:r w:rsidRPr="008B4C76">
              <w:rPr>
                <w:rFonts w:eastAsia="MS Mincho" w:cs="Calibri"/>
                <w:lang w:eastAsia="ja-JP"/>
              </w:rPr>
              <w:lastRenderedPageBreak/>
              <w:t xml:space="preserve">jego rozbudowę, bez naruszenia stabilności modułów już istniejących. 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Instalacja nowych modułów musi odbywać się bez konieczności wyłączenie / przestoju w funkcjonowaniu platformy.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18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Załączniki (np. skany dokumentów) muszą być składowane w podstawowej bazie danych lub niezależnych bazach danych załączników.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shd w:val="clear" w:color="auto" w:fill="BFBFBF"/>
            <w:noWrap/>
          </w:tcPr>
          <w:p w:rsidR="008B4C76" w:rsidRPr="008B4C76" w:rsidRDefault="008B4C76" w:rsidP="008B4C76">
            <w:pPr>
              <w:spacing w:after="120" w:line="240" w:lineRule="auto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BFBFBF"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b/>
                <w:lang w:eastAsia="ja-JP"/>
              </w:rPr>
              <w:t>Wymagania dotyczące platformy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Strony platformy muszą wyświetlać się prawidłowo na co najmniej następujących przeglądarkach internetowych: Microsoft Edge, Chrome, Firefox dla oficjalnych najnowszych wersji produktów (tzw. wersjach stabilnych) wydanych przez producentów w momencie produkcyjnego uruchomienia platformy.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być udostępniany w wygodnym, przejrzystym, ergonomicznym interfejsie graficznym, funkcjonalnym oraz przyjaznym dla użytkownika w języku polskim.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Podstawowy interfejs użytkownika musi stanowić zestaw stron dostępny przez przeglądarkę internetową. Platforma musi wykorzystywać bezpieczny protokół transmisji/szyfrowanie połączeń (SSL z kluczem co najmniej 256 bitów, lub równoważny). Platforma musi zapewniać jednakowe, lub zbliżone wyświetlanie wszystkich elementów we wspieranych przeglądarkach.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definiowania struktury organizacyjnej oraz listy użytkowników.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definiowanie uprawnień nadawanych poszczególnym użytkownikom w zależności od rodzaju wykonywanych przez nich funkcji zgodnie z wcześniej zdefiniowanymi rolami.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szybką i sprawną aktualizację z zachowaniem środków bezpieczeństwa przed utratą danych.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nie może wymagać instalacji na stanowiskach użytkownika końcowego (interfejs WEB).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posiadać wygodny i funkcjonalny panel administracyjny, umożliwiający m.in.: zarządzanie systemem uprawnień użytkowników i grup użytkowników, definiowanie ról dla użytkowników i grup użytkowników.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zapewniać jednoznaczną i niepodważalną identyfikację użytkowników pracujących na platformie.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Uwierzytelnianie użytkowników musi  następować na podstawie jednoznacznie przydzielonego identyfikatora (loginu) i hasła, platforma nie może pozwalać na przydzielenie tego samego identyfikatora innej osobie.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 xml:space="preserve">Platforma musi umożliwiać jednoczesny dostępu do danych przez wielu </w:t>
            </w:r>
            <w:r w:rsidRPr="008B4C76">
              <w:rPr>
                <w:rFonts w:eastAsia="MS Mincho" w:cs="Calibri"/>
                <w:lang w:eastAsia="ja-JP"/>
              </w:rPr>
              <w:lastRenderedPageBreak/>
              <w:t>użytkowników, z ochroną tych danych przed utratą spójności lub zniszczeniem.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posiadać zabezpieczenia danych przed niepowołanym dostępem, dzięki możliwości przydzielania zakresu uprawnień poszczególnym użytkownikom i grupom użytkowników.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19"/>
              </w:numPr>
              <w:spacing w:after="0" w:line="240" w:lineRule="auto"/>
              <w:ind w:left="3" w:hanging="3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posiadać zabezpieczenia przed dostępem osób nieautoryzowanych. Zabezpieczenia muszą funkcjonować na poziomie klienta (aplikacji) i serwera (bazy danych).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B4C76" w:rsidRPr="008B4C76" w:rsidRDefault="008B4C76" w:rsidP="008B4C76">
            <w:pPr>
              <w:spacing w:after="120"/>
              <w:ind w:left="3"/>
              <w:contextualSpacing/>
              <w:jc w:val="both"/>
              <w:rPr>
                <w:rFonts w:eastAsia="MS Mincho" w:cs="Calibri"/>
                <w:b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b/>
                <w:lang w:eastAsia="ja-JP"/>
              </w:rPr>
            </w:pPr>
            <w:r w:rsidRPr="008B4C76">
              <w:rPr>
                <w:rFonts w:eastAsia="MS Mincho" w:cs="Calibri"/>
                <w:b/>
                <w:lang w:eastAsia="ja-JP"/>
              </w:rPr>
              <w:t>Dostęp do platformy i zasobów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427" w:hanging="425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drukowanie do pliku. Minimalny zestaw obsługiwanych formatów powinien zawierać plik tekstowy i PDF.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dołączanie do opisu dokumentów pierwotnych (formaty typu PDF, DOC, DOCX, RTF, CSV i inne) )  i wtórnych (skany).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opracowanie zestawień do celów sprawozdawczości wewnętrznej i zewnętrznej.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tworzenie szczegółowych zestawień bibliometrycznych w obrębie poszczególnych rodzajów osiągnięć publikacyjnych.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obliczanie jednostkowego udziału w osiągnięciu publikacyjnym.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sporządzanie pełnej statystyki bibliometrycznej w formacie HTML, PDF, XLS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generowanie ocen okresowych pracowników wraz z raportami w formacie PDF, XLS.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porównanie ocen pracowników.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zapewniać importowanie danych o jednostkach organizacyjnych, pracownikach oraz osiągnięciach z ankiety jednostki w postaci pliku XML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zapewniać importowanie danych o publikacjach, monografiach oraz rozdziałach z pliku XML zgodnego z formatem PBN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generowanie zestawień i raportów dla jednostek organizacyjnych i pracowników w zakresie sprawozdawanych osiągnięć naukowych w formatach: Excel, HTML, PDF.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generowanie zestawienia oraz karty oceny dla grup badawczych składających się z kilku pracowników wraz z możliwością porównania grup badawczych między sobą.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generowanie prognozowanej oceny dla różnych scenariuszy zdefiniowanych przez użytkownika.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tworzenie i udostępnianie rankingów pracowników wg wskaźników wartościujących i wybranych kryteriów.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generowania wielokryterialnych analiz w oparciu o algorytmy kwantyfikacji wkładu dorobku, potencjału i efektywności oraz produktywności naukowej.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zapewnić możliwość dokonania weryfikacji wprowadzonych danych pod kątem duplikatów, niekompletności danych, błędnych numerów i błędnych innych danych.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zapewnić możliwość weryfikacji i poprawiania danych w kontekście osiągnięć pracowników.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zapewnić możliwość automatycznego wykrywania błędów, możliwych do zweryfikowania maszynowo we wprowadzonych danych.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4C76" w:rsidRPr="008B4C76" w:rsidRDefault="008B4C76" w:rsidP="008B4C76">
            <w:pPr>
              <w:numPr>
                <w:ilvl w:val="0"/>
                <w:numId w:val="22"/>
              </w:numPr>
              <w:spacing w:after="0" w:line="240" w:lineRule="auto"/>
              <w:ind w:left="3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tworzenie i zarządzanie zadaniami weryfikacyjnymi do wykonania przez kadrę weryfikującą dane.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000000" w:fill="BFBFBF"/>
            <w:noWrap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b/>
                <w:lang w:eastAsia="ja-JP"/>
              </w:rPr>
            </w:pPr>
          </w:p>
        </w:tc>
        <w:tc>
          <w:tcPr>
            <w:tcW w:w="7801" w:type="dxa"/>
            <w:shd w:val="clear" w:color="000000" w:fill="BFBFBF"/>
          </w:tcPr>
          <w:p w:rsidR="008B4C76" w:rsidRPr="008B4C76" w:rsidRDefault="008B4C76" w:rsidP="008B4C76">
            <w:pPr>
              <w:spacing w:after="120"/>
              <w:jc w:val="center"/>
              <w:rPr>
                <w:rFonts w:eastAsia="MS Mincho" w:cs="Calibri"/>
                <w:b/>
                <w:lang w:eastAsia="ja-JP"/>
              </w:rPr>
            </w:pPr>
            <w:r w:rsidRPr="008B4C76">
              <w:rPr>
                <w:rFonts w:eastAsia="MS Mincho" w:cs="Calibri"/>
                <w:b/>
                <w:lang w:eastAsia="ja-JP"/>
              </w:rPr>
              <w:t>Wymagania co do zakresu gromadzonych danych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przechowywanie danych zgodnie z rozporządzeniem Ministra Nauki i Szkolnictwa Wyższego z dnia 22 lutego 2019 r. w sprawie ewaluacji jakości działalności naukowej.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umożliwiać przechowywanie danych zgodnie z rozporządzeniem Ministra Nauki i Szkolnictwa Wyższego z dnia 6 marca 2019 r. w sprawie danych przetwarzanych w Zintegrowanym Systemie Informacji o Szkolnictwie Wyższym i Nauce POL-on.</w:t>
            </w:r>
          </w:p>
        </w:tc>
      </w:tr>
      <w:tr w:rsidR="008B4C76" w:rsidRPr="008B4C76" w:rsidTr="008B4C76">
        <w:trPr>
          <w:trHeight w:val="300"/>
          <w:jc w:val="center"/>
        </w:trPr>
        <w:tc>
          <w:tcPr>
            <w:tcW w:w="1271" w:type="dxa"/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shd w:val="clear" w:color="auto" w:fill="auto"/>
          </w:tcPr>
          <w:p w:rsidR="008B4C76" w:rsidRPr="008B4C76" w:rsidRDefault="008B4C76" w:rsidP="008B4C76">
            <w:pPr>
              <w:spacing w:after="0" w:line="240" w:lineRule="auto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 xml:space="preserve">Platforma musi umożliwiać przechowywanie danych zgodnie z aktualnie obowiązującym prawodawstwem związanym z ewaluacją jakości działalności naukowej, w tym w zakresie wykazu wydawców, wykazu czasopism naukowych, etc. 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wyznaczania liczby uwzględnianych w ewaluacji osiągnięć naukowych w danej dyscyplinie naukowej stosownie do w art. 343 ust. 1 pkt 16, wg stanu na dzień 31 grudnia każdego roku objętego ewaluacją, na podstawie oświadczeń, o których mowa w art. 265 ust. 5 oraz informacji zawartych w wykazie, o którym mowa w art. 342 ust. 3 pkt 1 ustawy Prawo o szkolnictwie wyższym i nauce.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wprowadzania aktualnego wykazu zgodnie z przepisami wydanymi na podstawie art. 267 ust. 2 pkt 2 lit. a, b ustawy Prawo o szkolnictwie wyższym i nauce, oraz automatycznej identyfikacji punktacji poszczególnych osiągnięć publikacyjnych.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 xml:space="preserve">Platforma musi mieć możliwość dokonywania przeliczeń osiągnięć publikacyjnych w obrębie slotów publikacyjnych, ważonej liczby uwzględnianych w ewaluacji osiągnięć naukowych, o których mowa w § 6 ust. 1 pkt 1-4 i ust. 2 ustawy Prawo o szkolnictwie wyższym i nauce, z zastrzeżeniem limitów wynikających z treści rozporządzenia Ministra Nauki i Szkolnictwa Wyższego w sprawie ewaluacji jakości działalności naukowej, przy czym algorytm optymalizujący winien dokonywać wyboru osiągnięć </w:t>
            </w:r>
            <w:r w:rsidRPr="008B4C76">
              <w:rPr>
                <w:rFonts w:eastAsia="MS Mincho" w:cs="Calibri"/>
                <w:lang w:eastAsia="ja-JP"/>
              </w:rPr>
              <w:lastRenderedPageBreak/>
              <w:t>naukowych w sposób zapewniający uzyskanie maksymalnego wyniku oceny podmiotu w danej dyscyplinie naukowej.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dokonywania obliczeń wynikających z kwantyfikacji środków finansowych z tytułu efektów finansowych badań naukowych i prac rozwojowych w ramach danej dyscypliny naukowej, w określonych przedziałach, z zastrzeżeniem limitów wynikających z treści rozporządzenia Ministra Nauki i Szkolnictwa Wyższego w sprawie ewaluacji jakości działalności naukowej. W zakresie projektów dodatkowo algorytm optymalizujący winien dokonywać wyboru projektów, w sposób zapewniający uzyskanie maksymalnego wyniku oceny podmiotu w danej dyscyplinie naukowej.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dokonywania symulacji w zakresie optymalnej kwalifikacji działalności naukowej w ramach danej dyscypliny naukowej prowadzonej przez podmiot.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przeprowadzenie porównania parami w trzech kryteriach oceny, w oparciu o wyliczone, udowodnione i rekomendowane zestawy wartości parametrów jednostek referencyjnych do kategorii naukowych A, B+, B, C, stosownie do treści rozporządzenia Ministra Nauki i Szkolnictwa Wyższego w sprawie ewaluacji jakości działalności naukowej.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zarządzania procesem wytwarzania osiągnięć naukowych oraz realizacją projektów poprzez wyznaczanie celów do realizacji (zarówno naukowych, dydaktyczny, jak i organizacyjnych), przypisywanie konkretnych zadań do pracowników oraz zespołów, a także ich rozliczania.</w:t>
            </w:r>
          </w:p>
        </w:tc>
      </w:tr>
      <w:tr w:rsidR="008B4C76" w:rsidRPr="008B4C76" w:rsidTr="008B4C76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76" w:rsidRPr="008B4C76" w:rsidRDefault="008B4C76" w:rsidP="008B4C76">
            <w:pPr>
              <w:numPr>
                <w:ilvl w:val="0"/>
                <w:numId w:val="21"/>
              </w:numPr>
              <w:spacing w:after="0" w:line="240" w:lineRule="auto"/>
              <w:ind w:left="6" w:firstLine="0"/>
              <w:contextualSpacing/>
              <w:jc w:val="both"/>
              <w:rPr>
                <w:rFonts w:eastAsia="MS Mincho" w:cs="Calibri"/>
                <w:lang w:eastAsia="ja-JP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76" w:rsidRPr="008B4C76" w:rsidRDefault="008B4C76" w:rsidP="008B4C76">
            <w:pPr>
              <w:spacing w:after="120"/>
              <w:jc w:val="both"/>
              <w:rPr>
                <w:rFonts w:eastAsia="MS Mincho" w:cs="Calibri"/>
                <w:lang w:eastAsia="ja-JP"/>
              </w:rPr>
            </w:pPr>
            <w:r w:rsidRPr="008B4C76">
              <w:rPr>
                <w:rFonts w:eastAsia="MS Mincho" w:cs="Calibri"/>
                <w:lang w:eastAsia="ja-JP"/>
              </w:rPr>
              <w:t>Platforma musi mieć możliwość realizacji procesu oceny aktywności naukowej, dydaktycznej, organizacyjnej pracowników wraz z funkcją zrównoważonego zarządzania zasobami uczelni.</w:t>
            </w:r>
          </w:p>
        </w:tc>
      </w:tr>
    </w:tbl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585821" w:rsidSect="00BE3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D0" w:rsidRDefault="009D0BD0" w:rsidP="00E23514">
      <w:pPr>
        <w:spacing w:after="0" w:line="240" w:lineRule="auto"/>
      </w:pPr>
      <w:r>
        <w:separator/>
      </w:r>
    </w:p>
  </w:endnote>
  <w:endnote w:type="continuationSeparator" w:id="1">
    <w:p w:rsidR="009D0BD0" w:rsidRDefault="009D0BD0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D0" w:rsidRDefault="009D0BD0" w:rsidP="00E23514">
      <w:pPr>
        <w:spacing w:after="0" w:line="240" w:lineRule="auto"/>
      </w:pPr>
      <w:r>
        <w:separator/>
      </w:r>
    </w:p>
  </w:footnote>
  <w:footnote w:type="continuationSeparator" w:id="1">
    <w:p w:rsidR="009D0BD0" w:rsidRDefault="009D0BD0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C1" w:rsidRDefault="004163E9">
    <w:pPr>
      <w:pStyle w:val="Nagwek"/>
    </w:pPr>
    <w:r w:rsidRPr="00E94A2D">
      <w:rPr>
        <w:noProof/>
        <w:lang w:eastAsia="pl-PL"/>
      </w:rPr>
      <w:drawing>
        <wp:inline distT="0" distB="0" distL="0" distR="0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>
    <w:nsid w:val="09B055A8"/>
    <w:multiLevelType w:val="multilevel"/>
    <w:tmpl w:val="A3325A6E"/>
    <w:lvl w:ilvl="0">
      <w:start w:val="1"/>
      <w:numFmt w:val="decimal"/>
      <w:lvlText w:val="4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83935"/>
    <w:multiLevelType w:val="multilevel"/>
    <w:tmpl w:val="93E09F36"/>
    <w:lvl w:ilvl="0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30E046B"/>
    <w:multiLevelType w:val="multilevel"/>
    <w:tmpl w:val="2F9CD9A8"/>
    <w:lvl w:ilvl="0">
      <w:start w:val="1"/>
      <w:numFmt w:val="decimal"/>
      <w:lvlText w:val="3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2E1193"/>
    <w:multiLevelType w:val="multilevel"/>
    <w:tmpl w:val="C73E37DA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1DD772F"/>
    <w:multiLevelType w:val="multilevel"/>
    <w:tmpl w:val="2F9CD9A8"/>
    <w:lvl w:ilvl="0">
      <w:start w:val="1"/>
      <w:numFmt w:val="decimal"/>
      <w:lvlText w:val="3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10"/>
  </w:num>
  <w:num w:numId="12">
    <w:abstractNumId w:val="7"/>
  </w:num>
  <w:num w:numId="13">
    <w:abstractNumId w:val="19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3"/>
  </w:num>
  <w:num w:numId="19">
    <w:abstractNumId w:val="17"/>
  </w:num>
  <w:num w:numId="20">
    <w:abstractNumId w:val="14"/>
  </w:num>
  <w:num w:numId="21">
    <w:abstractNumId w:val="1"/>
  </w:num>
  <w:num w:numId="22">
    <w:abstractNumId w:val="18"/>
  </w:num>
  <w:num w:numId="2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7254"/>
    <w:rsid w:val="00002CEA"/>
    <w:rsid w:val="00006E44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376C"/>
    <w:rsid w:val="001E7FFD"/>
    <w:rsid w:val="001F4EB9"/>
    <w:rsid w:val="00201627"/>
    <w:rsid w:val="00214032"/>
    <w:rsid w:val="0022581B"/>
    <w:rsid w:val="00234AA8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4B5"/>
    <w:rsid w:val="003C6DE4"/>
    <w:rsid w:val="003C7EFC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163E9"/>
    <w:rsid w:val="004256A7"/>
    <w:rsid w:val="00430A4D"/>
    <w:rsid w:val="00480989"/>
    <w:rsid w:val="00481679"/>
    <w:rsid w:val="0048545E"/>
    <w:rsid w:val="00494342"/>
    <w:rsid w:val="004974E9"/>
    <w:rsid w:val="004A56DC"/>
    <w:rsid w:val="004A61F8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7F7B"/>
    <w:rsid w:val="005A5D78"/>
    <w:rsid w:val="005A7B0D"/>
    <w:rsid w:val="005B3F1B"/>
    <w:rsid w:val="005B670D"/>
    <w:rsid w:val="005C0B23"/>
    <w:rsid w:val="005C1BFD"/>
    <w:rsid w:val="005C4328"/>
    <w:rsid w:val="005D161E"/>
    <w:rsid w:val="005D17F4"/>
    <w:rsid w:val="005D6F19"/>
    <w:rsid w:val="005E357D"/>
    <w:rsid w:val="005E48E8"/>
    <w:rsid w:val="005F21D1"/>
    <w:rsid w:val="005F6DFA"/>
    <w:rsid w:val="00600438"/>
    <w:rsid w:val="00616763"/>
    <w:rsid w:val="0062337B"/>
    <w:rsid w:val="00627E1C"/>
    <w:rsid w:val="0064509F"/>
    <w:rsid w:val="006476BB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A4A97"/>
    <w:rsid w:val="007C635F"/>
    <w:rsid w:val="007D6B73"/>
    <w:rsid w:val="007E7262"/>
    <w:rsid w:val="00802A93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B4C76"/>
    <w:rsid w:val="008D2660"/>
    <w:rsid w:val="008D2A28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0BD0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4FBD"/>
    <w:rsid w:val="00D8353B"/>
    <w:rsid w:val="00D8497A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7B6E"/>
    <w:rsid w:val="00FD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15344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2019-10-03T08:54:00Z</dcterms:created>
  <dcterms:modified xsi:type="dcterms:W3CDTF">2019-10-03T08:54:00Z</dcterms:modified>
</cp:coreProperties>
</file>